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5B" w:rsidRDefault="00A55F5B" w:rsidP="00A55F5B">
      <w:pPr>
        <w:pStyle w:val="Kop3"/>
        <w:spacing w:before="0"/>
        <w:rPr>
          <w:rFonts w:ascii="Arial" w:hAnsi="Arial" w:cs="Arial"/>
          <w:color w:val="2E7BBC"/>
          <w:spacing w:val="15"/>
        </w:rPr>
      </w:pPr>
      <w:r>
        <w:rPr>
          <w:rFonts w:ascii="Arial" w:hAnsi="Arial" w:cs="Arial"/>
          <w:b/>
          <w:bCs/>
          <w:color w:val="2E7BBC"/>
          <w:spacing w:val="15"/>
        </w:rPr>
        <w:fldChar w:fldCharType="begin"/>
      </w:r>
      <w:r>
        <w:rPr>
          <w:rFonts w:ascii="Arial" w:hAnsi="Arial" w:cs="Arial"/>
          <w:b/>
          <w:bCs/>
          <w:color w:val="2E7BBC"/>
          <w:spacing w:val="15"/>
        </w:rPr>
        <w:instrText xml:space="preserve"> HYPERLINK "https://privaatluik.advocaat.be/infotheek/rechtspraak-en-adviezen/tuchtdatabank/tag-571-beslissing-16-september-2020" </w:instrText>
      </w:r>
      <w:r>
        <w:rPr>
          <w:rFonts w:ascii="Arial" w:hAnsi="Arial" w:cs="Arial"/>
          <w:b/>
          <w:bCs/>
          <w:color w:val="2E7BBC"/>
          <w:spacing w:val="15"/>
        </w:rPr>
        <w:fldChar w:fldCharType="separate"/>
      </w:r>
      <w:r>
        <w:rPr>
          <w:rStyle w:val="Hyperlink"/>
          <w:rFonts w:ascii="Arial" w:hAnsi="Arial" w:cs="Arial"/>
          <w:b/>
          <w:bCs/>
          <w:caps/>
          <w:color w:val="293038"/>
          <w:spacing w:val="15"/>
        </w:rPr>
        <w:t>TAG-571: BESLISSING 16 SEPTEMBER 2020</w:t>
      </w:r>
      <w:r>
        <w:rPr>
          <w:rFonts w:ascii="Arial" w:hAnsi="Arial" w:cs="Arial"/>
          <w:b/>
          <w:bCs/>
          <w:color w:val="2E7BBC"/>
          <w:spacing w:val="15"/>
        </w:rPr>
        <w:fldChar w:fldCharType="end"/>
      </w:r>
    </w:p>
    <w:p w:rsidR="00A55F5B" w:rsidRDefault="00A55F5B" w:rsidP="00A55F5B">
      <w:pPr>
        <w:spacing w:line="360" w:lineRule="atLeast"/>
        <w:rPr>
          <w:rFonts w:ascii="Source Sans Pro" w:hAnsi="Source Sans Pro" w:cs="Times New Roman"/>
          <w:color w:val="4D5A69"/>
          <w:sz w:val="24"/>
          <w:szCs w:val="24"/>
        </w:rPr>
      </w:pPr>
      <w:r>
        <w:rPr>
          <w:rFonts w:ascii="Source Sans Pro" w:hAnsi="Source Sans Pro"/>
          <w:color w:val="4D5A69"/>
        </w:rPr>
        <w:t>Tuchtraad voor advocaten Gent, 16 september 2020</w:t>
      </w:r>
    </w:p>
    <w:p w:rsidR="00A55F5B" w:rsidRDefault="00A55F5B" w:rsidP="00A365F3">
      <w:pPr>
        <w:spacing w:after="0" w:line="240" w:lineRule="auto"/>
        <w:outlineLvl w:val="1"/>
        <w:rPr>
          <w:rFonts w:eastAsia="Times New Roman" w:cstheme="minorHAnsi"/>
          <w:b/>
          <w:bCs/>
          <w:color w:val="2E7BBC"/>
          <w:spacing w:val="15"/>
          <w:sz w:val="20"/>
          <w:szCs w:val="20"/>
          <w:lang w:eastAsia="nl-BE"/>
        </w:rPr>
      </w:pPr>
    </w:p>
    <w:p w:rsidR="00A365F3" w:rsidRPr="00A365F3" w:rsidRDefault="00A365F3" w:rsidP="00A365F3">
      <w:pPr>
        <w:spacing w:after="0" w:line="240" w:lineRule="auto"/>
        <w:rPr>
          <w:rFonts w:eastAsia="Times New Roman" w:cstheme="minorHAnsi"/>
          <w:color w:val="4D5A69"/>
          <w:spacing w:val="11"/>
          <w:sz w:val="20"/>
          <w:szCs w:val="20"/>
          <w:lang w:eastAsia="nl-BE"/>
        </w:rPr>
      </w:pPr>
      <w:r w:rsidRPr="00A365F3">
        <w:rPr>
          <w:rFonts w:eastAsia="Times New Roman" w:cstheme="minorHAnsi"/>
          <w:color w:val="4D5A69"/>
          <w:spacing w:val="11"/>
          <w:sz w:val="20"/>
          <w:szCs w:val="20"/>
          <w:lang w:eastAsia="nl-BE"/>
        </w:rPr>
        <w:t xml:space="preserve">Uit het tuchtdossier blijkt dat de advocaat regelmatig met zijn cliënte communiceert per SMS, deze communicatie kan in sommige gevallen nuttig en noodzakelijk zijn, maar wordt wel </w:t>
      </w:r>
      <w:r w:rsidRPr="00A365F3">
        <w:rPr>
          <w:rFonts w:eastAsia="Times New Roman" w:cstheme="minorHAnsi"/>
          <w:b/>
          <w:color w:val="4D5A69"/>
          <w:spacing w:val="11"/>
          <w:sz w:val="20"/>
          <w:szCs w:val="20"/>
          <w:lang w:eastAsia="nl-BE"/>
        </w:rPr>
        <w:t>problematisch wanneer deze communicatie niet systematisch hetzij digitaal hetzij anderszins wordt opgeslagen in het dossier</w:t>
      </w:r>
      <w:r w:rsidRPr="00A365F3">
        <w:rPr>
          <w:rFonts w:eastAsia="Times New Roman" w:cstheme="minorHAnsi"/>
          <w:color w:val="4D5A69"/>
          <w:spacing w:val="11"/>
          <w:sz w:val="20"/>
          <w:szCs w:val="20"/>
          <w:lang w:eastAsia="nl-BE"/>
        </w:rPr>
        <w:t>. Dit laatste was het geval in het dossier in kwestie.</w:t>
      </w:r>
    </w:p>
    <w:p w:rsidR="00A365F3" w:rsidRPr="00A365F3" w:rsidRDefault="00A365F3" w:rsidP="00A365F3">
      <w:pPr>
        <w:spacing w:after="0" w:line="240" w:lineRule="auto"/>
        <w:rPr>
          <w:rFonts w:eastAsia="Times New Roman" w:cstheme="minorHAnsi"/>
          <w:color w:val="4D5A69"/>
          <w:spacing w:val="11"/>
          <w:sz w:val="20"/>
          <w:szCs w:val="20"/>
          <w:lang w:eastAsia="nl-BE"/>
        </w:rPr>
      </w:pPr>
      <w:r w:rsidRPr="00A365F3">
        <w:rPr>
          <w:rFonts w:eastAsia="Times New Roman" w:cstheme="minorHAnsi"/>
          <w:color w:val="4D5A69"/>
          <w:spacing w:val="11"/>
          <w:sz w:val="20"/>
          <w:szCs w:val="20"/>
          <w:lang w:eastAsia="nl-BE"/>
        </w:rPr>
        <w:t>De advocaat geeft toe dat niet al het SMS verkeer van zijn cliënte digitaal of afgedrukt aanwezig is en dat het SMS verkeer systematisch na zes maanden wordt gewist.</w:t>
      </w:r>
    </w:p>
    <w:p w:rsidR="00A365F3" w:rsidRPr="00A365F3" w:rsidRDefault="00A365F3" w:rsidP="00A365F3">
      <w:pPr>
        <w:spacing w:after="0" w:line="240" w:lineRule="auto"/>
        <w:rPr>
          <w:rFonts w:eastAsia="Times New Roman" w:cstheme="minorHAnsi"/>
          <w:color w:val="4D5A69"/>
          <w:spacing w:val="11"/>
          <w:sz w:val="20"/>
          <w:szCs w:val="20"/>
          <w:lang w:eastAsia="nl-BE"/>
        </w:rPr>
      </w:pPr>
      <w:r w:rsidRPr="00A365F3">
        <w:rPr>
          <w:rFonts w:eastAsia="Times New Roman" w:cstheme="minorHAnsi"/>
          <w:color w:val="4D5A69"/>
          <w:spacing w:val="11"/>
          <w:sz w:val="20"/>
          <w:szCs w:val="20"/>
          <w:lang w:eastAsia="nl-BE"/>
        </w:rPr>
        <w:t>Juist door het niet bijhouden van het SMS verkeer stelt zich volgens de advocaat een bewijsprobleem in zijn hoofde om aan te tonen dat het door mevr. B voorgebracht SMS verkeer al dan niet gemanipuleerd is of uit zijn context gerukt.</w:t>
      </w:r>
    </w:p>
    <w:p w:rsidR="00A365F3" w:rsidRPr="00A365F3" w:rsidRDefault="00A365F3" w:rsidP="00A365F3">
      <w:pPr>
        <w:spacing w:after="0" w:line="240" w:lineRule="auto"/>
        <w:rPr>
          <w:rFonts w:eastAsia="Times New Roman" w:cstheme="minorHAnsi"/>
          <w:b/>
          <w:color w:val="4D5A69"/>
          <w:spacing w:val="11"/>
          <w:sz w:val="20"/>
          <w:szCs w:val="20"/>
          <w:lang w:eastAsia="nl-BE"/>
        </w:rPr>
      </w:pPr>
      <w:r w:rsidRPr="00A365F3">
        <w:rPr>
          <w:rFonts w:eastAsia="Times New Roman" w:cstheme="minorHAnsi"/>
          <w:color w:val="4D5A69"/>
          <w:spacing w:val="11"/>
          <w:sz w:val="20"/>
          <w:szCs w:val="20"/>
          <w:lang w:eastAsia="nl-BE"/>
        </w:rPr>
        <w:t xml:space="preserve">De tuchtraad is dan ook van oordeel dat de advocaat hierdoor </w:t>
      </w:r>
      <w:r w:rsidRPr="00A365F3">
        <w:rPr>
          <w:rFonts w:eastAsia="Times New Roman" w:cstheme="minorHAnsi"/>
          <w:b/>
          <w:color w:val="4D5A69"/>
          <w:spacing w:val="11"/>
          <w:sz w:val="20"/>
          <w:szCs w:val="20"/>
          <w:lang w:eastAsia="nl-BE"/>
        </w:rPr>
        <w:t>in gebreke is op de verplichting zijn beroep op deskundige wijze uit te oefenen.</w:t>
      </w:r>
    </w:p>
    <w:p w:rsidR="00A365F3" w:rsidRPr="00A365F3" w:rsidRDefault="00A365F3" w:rsidP="00A365F3">
      <w:pPr>
        <w:spacing w:after="0" w:line="240" w:lineRule="auto"/>
        <w:rPr>
          <w:rFonts w:eastAsia="Times New Roman" w:cstheme="minorHAnsi"/>
          <w:color w:val="4D5A69"/>
          <w:spacing w:val="11"/>
          <w:sz w:val="20"/>
          <w:szCs w:val="20"/>
          <w:lang w:eastAsia="nl-BE"/>
        </w:rPr>
      </w:pPr>
      <w:r w:rsidRPr="00A365F3">
        <w:rPr>
          <w:rFonts w:eastAsia="Times New Roman" w:cstheme="minorHAnsi"/>
          <w:color w:val="4D5A69"/>
          <w:spacing w:val="11"/>
          <w:sz w:val="20"/>
          <w:szCs w:val="20"/>
          <w:lang w:eastAsia="nl-BE"/>
        </w:rPr>
        <w:t>Het ten laste gelegde feit C is dan ook bewezen.</w:t>
      </w:r>
    </w:p>
    <w:p w:rsidR="00A55F5B" w:rsidRDefault="00A55F5B" w:rsidP="00A365F3">
      <w:pPr>
        <w:spacing w:after="0" w:line="240" w:lineRule="auto"/>
        <w:rPr>
          <w:rFonts w:eastAsia="Times New Roman" w:cstheme="minorHAnsi"/>
          <w:b/>
          <w:bCs/>
          <w:color w:val="4D5A69"/>
          <w:spacing w:val="11"/>
          <w:sz w:val="20"/>
          <w:szCs w:val="20"/>
          <w:lang w:eastAsia="nl-BE"/>
        </w:rPr>
      </w:pPr>
    </w:p>
    <w:p w:rsidR="00A55F5B" w:rsidRDefault="00A55F5B" w:rsidP="00A365F3">
      <w:pPr>
        <w:spacing w:after="0" w:line="240" w:lineRule="auto"/>
        <w:rPr>
          <w:rFonts w:eastAsia="Times New Roman" w:cstheme="minorHAnsi"/>
          <w:b/>
          <w:bCs/>
          <w:color w:val="4D5A69"/>
          <w:spacing w:val="11"/>
          <w:sz w:val="20"/>
          <w:szCs w:val="20"/>
          <w:lang w:eastAsia="nl-BE"/>
        </w:rPr>
      </w:pPr>
    </w:p>
    <w:p w:rsidR="00A55F5B" w:rsidRDefault="00A55F5B" w:rsidP="00A55F5B">
      <w:pPr>
        <w:pStyle w:val="Kop3"/>
        <w:spacing w:before="0"/>
        <w:rPr>
          <w:rFonts w:ascii="Arial" w:hAnsi="Arial" w:cs="Arial"/>
          <w:color w:val="2E7BBC"/>
          <w:spacing w:val="15"/>
        </w:rPr>
      </w:pPr>
      <w:hyperlink r:id="rId4" w:history="1">
        <w:r>
          <w:rPr>
            <w:rStyle w:val="Hyperlink"/>
            <w:rFonts w:ascii="Arial" w:hAnsi="Arial" w:cs="Arial"/>
            <w:b/>
            <w:bCs/>
            <w:caps/>
            <w:color w:val="293038"/>
            <w:spacing w:val="15"/>
          </w:rPr>
          <w:t>TAA/ST/0359/2019: BESLISSING 19 DECEMBER 2019</w:t>
        </w:r>
      </w:hyperlink>
    </w:p>
    <w:p w:rsidR="00A55F5B" w:rsidRPr="00A55F5B" w:rsidRDefault="00A55F5B" w:rsidP="00A55F5B">
      <w:pPr>
        <w:spacing w:line="360" w:lineRule="atLeast"/>
        <w:rPr>
          <w:rFonts w:ascii="Source Sans Pro" w:hAnsi="Source Sans Pro" w:cs="Times New Roman"/>
          <w:color w:val="4D5A69"/>
          <w:sz w:val="24"/>
          <w:szCs w:val="24"/>
        </w:rPr>
      </w:pPr>
      <w:r>
        <w:rPr>
          <w:rFonts w:ascii="Source Sans Pro" w:hAnsi="Source Sans Pro"/>
          <w:color w:val="4D5A69"/>
        </w:rPr>
        <w:t>Tuchtraad voor advocaten Antwerpen, 19 december 2019</w:t>
      </w:r>
    </w:p>
    <w:p w:rsidR="00A55F5B" w:rsidRPr="00A55F5B" w:rsidRDefault="00A55F5B" w:rsidP="00A55F5B">
      <w:pPr>
        <w:spacing w:after="0" w:line="240" w:lineRule="auto"/>
        <w:rPr>
          <w:rFonts w:eastAsia="Times New Roman" w:cstheme="minorHAnsi"/>
          <w:color w:val="4D5A69"/>
          <w:spacing w:val="11"/>
          <w:sz w:val="20"/>
          <w:szCs w:val="20"/>
          <w:lang w:eastAsia="nl-BE"/>
        </w:rPr>
      </w:pPr>
      <w:bookmarkStart w:id="0" w:name="_GoBack"/>
      <w:bookmarkEnd w:id="0"/>
      <w:r w:rsidRPr="00A55F5B">
        <w:rPr>
          <w:rFonts w:eastAsia="Times New Roman" w:cstheme="minorHAnsi"/>
          <w:color w:val="4D5A69"/>
          <w:spacing w:val="11"/>
          <w:sz w:val="20"/>
          <w:szCs w:val="20"/>
          <w:lang w:eastAsia="nl-BE"/>
        </w:rPr>
        <w:t xml:space="preserve">Naast de problematiek van het (gebrek aan) aantekenen van hoger beroep wordt de advocaat ook verweten om de communicatie met haar cliënt te hebben beperkt tot hoofdzakelijk telefonische contacten en sms-berichten met </w:t>
      </w:r>
      <w:proofErr w:type="spellStart"/>
      <w:r w:rsidRPr="00A55F5B">
        <w:rPr>
          <w:rFonts w:eastAsia="Times New Roman" w:cstheme="minorHAnsi"/>
          <w:color w:val="4D5A69"/>
          <w:spacing w:val="11"/>
          <w:sz w:val="20"/>
          <w:szCs w:val="20"/>
          <w:lang w:eastAsia="nl-BE"/>
        </w:rPr>
        <w:t>emojitekens</w:t>
      </w:r>
      <w:proofErr w:type="spellEnd"/>
      <w:r w:rsidRPr="00A55F5B">
        <w:rPr>
          <w:rFonts w:eastAsia="Times New Roman" w:cstheme="minorHAnsi"/>
          <w:color w:val="4D5A69"/>
          <w:spacing w:val="11"/>
          <w:sz w:val="20"/>
          <w:szCs w:val="20"/>
          <w:lang w:eastAsia="nl-BE"/>
        </w:rPr>
        <w:t xml:space="preserve"> wat haar objectiviteit en onafhankelijkheid in het dossier mogelijks in het gedrang bracht.</w:t>
      </w:r>
    </w:p>
    <w:p w:rsidR="00A55F5B" w:rsidRPr="00A55F5B" w:rsidRDefault="00A55F5B" w:rsidP="00A55F5B">
      <w:pPr>
        <w:spacing w:after="0" w:line="240" w:lineRule="auto"/>
        <w:rPr>
          <w:rFonts w:eastAsia="Times New Roman" w:cstheme="minorHAnsi"/>
          <w:color w:val="4D5A69"/>
          <w:spacing w:val="11"/>
          <w:sz w:val="20"/>
          <w:szCs w:val="20"/>
          <w:lang w:eastAsia="nl-BE"/>
        </w:rPr>
      </w:pPr>
      <w:r w:rsidRPr="00A55F5B">
        <w:rPr>
          <w:rFonts w:eastAsia="Times New Roman" w:cstheme="minorHAnsi"/>
          <w:color w:val="4D5A69"/>
          <w:spacing w:val="11"/>
          <w:sz w:val="20"/>
          <w:szCs w:val="20"/>
          <w:lang w:eastAsia="nl-BE"/>
        </w:rPr>
        <w:t xml:space="preserve">Deze communicatie getuigt niet van erg veel afstandelijkheid en/of zakelijkheid. Een contract tussen een advocaat en een cliënt is een contract </w:t>
      </w:r>
      <w:proofErr w:type="spellStart"/>
      <w:r w:rsidRPr="00A55F5B">
        <w:rPr>
          <w:rFonts w:eastAsia="Times New Roman" w:cstheme="minorHAnsi"/>
          <w:color w:val="4D5A69"/>
          <w:spacing w:val="11"/>
          <w:sz w:val="20"/>
          <w:szCs w:val="20"/>
          <w:lang w:eastAsia="nl-BE"/>
        </w:rPr>
        <w:t>intuitu</w:t>
      </w:r>
      <w:proofErr w:type="spellEnd"/>
      <w:r w:rsidRPr="00A55F5B">
        <w:rPr>
          <w:rFonts w:eastAsia="Times New Roman" w:cstheme="minorHAnsi"/>
          <w:color w:val="4D5A69"/>
          <w:spacing w:val="11"/>
          <w:sz w:val="20"/>
          <w:szCs w:val="20"/>
          <w:lang w:eastAsia="nl-BE"/>
        </w:rPr>
        <w:t xml:space="preserve"> personae, gebaseerd op een persoonlijke vertrouwensband. Deze vertrouwensband mag evenwel niet verglijden tot familiariteit. Een advocaat is een zakelijke, onafhankelijke raadgever.  Uiteraard is de wijze van communicatie tussen advocaat en cliënt in de loop der jaren gewijzigd, en is er thans veel minder formalisme dan vroeger. Deze moderne communicatievormen zijn toelaatbaar, maar de advocaat moet goed beseffen dat ook zijn communicatie steeds moet beantwoorden aan de essentiële</w:t>
      </w:r>
      <w:r w:rsidRPr="00A55F5B">
        <w:rPr>
          <w:rFonts w:eastAsia="Times New Roman" w:cstheme="minorHAnsi"/>
          <w:i/>
          <w:iCs/>
          <w:sz w:val="20"/>
          <w:szCs w:val="20"/>
          <w:lang w:eastAsia="nl-BE"/>
        </w:rPr>
        <w:t> </w:t>
      </w:r>
      <w:r w:rsidRPr="00A55F5B">
        <w:rPr>
          <w:rFonts w:eastAsia="Times New Roman" w:cstheme="minorHAnsi"/>
          <w:color w:val="4D5A69"/>
          <w:spacing w:val="11"/>
          <w:sz w:val="20"/>
          <w:szCs w:val="20"/>
          <w:lang w:eastAsia="nl-BE"/>
        </w:rPr>
        <w:t>beginselen van waardigheid, rechtschapenheid en kiesheid, met grote zorg voor duidelijkheid en correctheid.</w:t>
      </w:r>
    </w:p>
    <w:p w:rsidR="00A55F5B" w:rsidRPr="00A55F5B" w:rsidRDefault="00A55F5B" w:rsidP="00A365F3">
      <w:pPr>
        <w:spacing w:after="0" w:line="240" w:lineRule="auto"/>
        <w:rPr>
          <w:rFonts w:eastAsia="Times New Roman" w:cstheme="minorHAnsi"/>
          <w:color w:val="4D5A69"/>
          <w:spacing w:val="11"/>
          <w:sz w:val="20"/>
          <w:szCs w:val="20"/>
          <w:lang w:eastAsia="nl-BE"/>
        </w:rPr>
      </w:pPr>
    </w:p>
    <w:sectPr w:rsidR="00A55F5B" w:rsidRPr="00A55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F3"/>
    <w:rsid w:val="000465C3"/>
    <w:rsid w:val="004855F1"/>
    <w:rsid w:val="00965C14"/>
    <w:rsid w:val="00A365F3"/>
    <w:rsid w:val="00A55F5B"/>
    <w:rsid w:val="00EF63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CC35"/>
  <w15:chartTrackingRefBased/>
  <w15:docId w15:val="{5CEC90E4-EE7D-462D-B123-26730FEC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365F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A55F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65F3"/>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A365F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365F3"/>
    <w:rPr>
      <w:b/>
      <w:bCs/>
    </w:rPr>
  </w:style>
  <w:style w:type="character" w:customStyle="1" w:styleId="Kop3Char">
    <w:name w:val="Kop 3 Char"/>
    <w:basedOn w:val="Standaardalinea-lettertype"/>
    <w:link w:val="Kop3"/>
    <w:uiPriority w:val="9"/>
    <w:semiHidden/>
    <w:rsid w:val="00A55F5B"/>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A55F5B"/>
    <w:rPr>
      <w:color w:val="0000FF"/>
      <w:u w:val="single"/>
    </w:rPr>
  </w:style>
  <w:style w:type="character" w:styleId="Nadruk">
    <w:name w:val="Emphasis"/>
    <w:basedOn w:val="Standaardalinea-lettertype"/>
    <w:uiPriority w:val="20"/>
    <w:qFormat/>
    <w:rsid w:val="00A55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19400">
      <w:bodyDiv w:val="1"/>
      <w:marLeft w:val="0"/>
      <w:marRight w:val="0"/>
      <w:marTop w:val="0"/>
      <w:marBottom w:val="0"/>
      <w:divBdr>
        <w:top w:val="none" w:sz="0" w:space="0" w:color="auto"/>
        <w:left w:val="none" w:sz="0" w:space="0" w:color="auto"/>
        <w:bottom w:val="none" w:sz="0" w:space="0" w:color="auto"/>
        <w:right w:val="none" w:sz="0" w:space="0" w:color="auto"/>
      </w:divBdr>
    </w:div>
    <w:div w:id="849685269">
      <w:bodyDiv w:val="1"/>
      <w:marLeft w:val="0"/>
      <w:marRight w:val="0"/>
      <w:marTop w:val="0"/>
      <w:marBottom w:val="0"/>
      <w:divBdr>
        <w:top w:val="none" w:sz="0" w:space="0" w:color="auto"/>
        <w:left w:val="none" w:sz="0" w:space="0" w:color="auto"/>
        <w:bottom w:val="none" w:sz="0" w:space="0" w:color="auto"/>
        <w:right w:val="none" w:sz="0" w:space="0" w:color="auto"/>
      </w:divBdr>
      <w:divsChild>
        <w:div w:id="1991401100">
          <w:marLeft w:val="0"/>
          <w:marRight w:val="0"/>
          <w:marTop w:val="0"/>
          <w:marBottom w:val="0"/>
          <w:divBdr>
            <w:top w:val="none" w:sz="0" w:space="0" w:color="auto"/>
            <w:left w:val="none" w:sz="0" w:space="0" w:color="auto"/>
            <w:bottom w:val="none" w:sz="0" w:space="0" w:color="auto"/>
            <w:right w:val="none" w:sz="0" w:space="0" w:color="auto"/>
          </w:divBdr>
        </w:div>
      </w:divsChild>
    </w:div>
    <w:div w:id="1295602890">
      <w:bodyDiv w:val="1"/>
      <w:marLeft w:val="0"/>
      <w:marRight w:val="0"/>
      <w:marTop w:val="0"/>
      <w:marBottom w:val="0"/>
      <w:divBdr>
        <w:top w:val="none" w:sz="0" w:space="0" w:color="auto"/>
        <w:left w:val="none" w:sz="0" w:space="0" w:color="auto"/>
        <w:bottom w:val="none" w:sz="0" w:space="0" w:color="auto"/>
        <w:right w:val="none" w:sz="0" w:space="0" w:color="auto"/>
      </w:divBdr>
      <w:divsChild>
        <w:div w:id="239295466">
          <w:marLeft w:val="0"/>
          <w:marRight w:val="0"/>
          <w:marTop w:val="0"/>
          <w:marBottom w:val="0"/>
          <w:divBdr>
            <w:top w:val="none" w:sz="0" w:space="0" w:color="auto"/>
            <w:left w:val="none" w:sz="0" w:space="0" w:color="auto"/>
            <w:bottom w:val="none" w:sz="0" w:space="0" w:color="auto"/>
            <w:right w:val="none" w:sz="0" w:space="0" w:color="auto"/>
          </w:divBdr>
        </w:div>
      </w:divsChild>
    </w:div>
    <w:div w:id="13987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atluik.advocaat.be/infotheek/rechtspraak-en-adviezen/tuchtdatabank/taa/st/0359/2019-beslissing-19-december-20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 Van In | Crivits &amp; Persyn</dc:creator>
  <cp:keywords/>
  <dc:description/>
  <cp:lastModifiedBy>Frede Van In | Crivits &amp; Persyn</cp:lastModifiedBy>
  <cp:revision>2</cp:revision>
  <dcterms:created xsi:type="dcterms:W3CDTF">2021-02-18T21:59:00Z</dcterms:created>
  <dcterms:modified xsi:type="dcterms:W3CDTF">2021-02-18T21:59:00Z</dcterms:modified>
</cp:coreProperties>
</file>